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85D" w:rsidRPr="0015145C" w:rsidRDefault="0050285D" w:rsidP="00D976F1">
      <w:pPr>
        <w:keepLines/>
        <w:numPr>
          <w:ilvl w:val="0"/>
          <w:numId w:val="18"/>
        </w:numPr>
        <w:spacing w:before="240"/>
        <w:jc w:val="both"/>
        <w:rPr>
          <w:rFonts w:ascii="Arial" w:hAnsi="Arial" w:cs="Arial"/>
          <w:sz w:val="22"/>
          <w:szCs w:val="22"/>
        </w:rPr>
      </w:pPr>
      <w:bookmarkStart w:id="0" w:name="_GoBack"/>
      <w:bookmarkEnd w:id="0"/>
      <w:r w:rsidRPr="0015145C">
        <w:rPr>
          <w:rFonts w:ascii="Arial" w:hAnsi="Arial" w:cs="Arial"/>
          <w:sz w:val="22"/>
          <w:szCs w:val="22"/>
        </w:rPr>
        <w:t xml:space="preserve">The Board of Architects of Queensland (the Board) administers the </w:t>
      </w:r>
      <w:r w:rsidRPr="0015145C">
        <w:rPr>
          <w:rFonts w:ascii="Arial" w:hAnsi="Arial" w:cs="Arial"/>
          <w:i/>
          <w:sz w:val="22"/>
          <w:szCs w:val="22"/>
        </w:rPr>
        <w:t>Architects Act 2002</w:t>
      </w:r>
      <w:r w:rsidRPr="0015145C">
        <w:rPr>
          <w:rFonts w:ascii="Arial" w:hAnsi="Arial" w:cs="Arial"/>
          <w:sz w:val="22"/>
          <w:szCs w:val="22"/>
        </w:rPr>
        <w:t xml:space="preserve"> (the Act). The Act regulates the registration of architects and the practice of architecture in </w:t>
      </w:r>
      <w:smartTag w:uri="urn:schemas-microsoft-com:office:smarttags" w:element="State">
        <w:smartTag w:uri="urn:schemas-microsoft-com:office:smarttags" w:element="place">
          <w:r w:rsidRPr="0015145C">
            <w:rPr>
              <w:rFonts w:ascii="Arial" w:hAnsi="Arial" w:cs="Arial"/>
              <w:sz w:val="22"/>
              <w:szCs w:val="22"/>
            </w:rPr>
            <w:t>Queensland</w:t>
          </w:r>
        </w:smartTag>
      </w:smartTag>
      <w:r w:rsidRPr="0015145C">
        <w:rPr>
          <w:rFonts w:ascii="Arial" w:hAnsi="Arial" w:cs="Arial"/>
          <w:sz w:val="22"/>
          <w:szCs w:val="22"/>
        </w:rPr>
        <w:t xml:space="preserve">. The Act has been in operation since 1 January 2003. The practice of architecture has been regulated in </w:t>
      </w:r>
      <w:smartTag w:uri="urn:schemas-microsoft-com:office:smarttags" w:element="State">
        <w:smartTag w:uri="urn:schemas-microsoft-com:office:smarttags" w:element="place">
          <w:r w:rsidRPr="0015145C">
            <w:rPr>
              <w:rFonts w:ascii="Arial" w:hAnsi="Arial" w:cs="Arial"/>
              <w:sz w:val="22"/>
              <w:szCs w:val="22"/>
            </w:rPr>
            <w:t>Queensland</w:t>
          </w:r>
        </w:smartTag>
      </w:smartTag>
      <w:r w:rsidRPr="0015145C">
        <w:rPr>
          <w:rFonts w:ascii="Arial" w:hAnsi="Arial" w:cs="Arial"/>
          <w:sz w:val="22"/>
          <w:szCs w:val="22"/>
        </w:rPr>
        <w:t xml:space="preserve"> since 1928.</w:t>
      </w:r>
    </w:p>
    <w:p w:rsidR="0050285D" w:rsidRPr="0015145C" w:rsidRDefault="0050285D" w:rsidP="00D976F1">
      <w:pPr>
        <w:keepLines/>
        <w:numPr>
          <w:ilvl w:val="0"/>
          <w:numId w:val="18"/>
        </w:numPr>
        <w:spacing w:before="240"/>
        <w:jc w:val="both"/>
        <w:rPr>
          <w:rFonts w:ascii="Arial" w:hAnsi="Arial" w:cs="Arial"/>
          <w:sz w:val="22"/>
          <w:szCs w:val="22"/>
        </w:rPr>
      </w:pPr>
      <w:r w:rsidRPr="0015145C">
        <w:rPr>
          <w:rFonts w:ascii="Arial" w:hAnsi="Arial" w:cs="Arial"/>
          <w:sz w:val="22"/>
          <w:szCs w:val="22"/>
        </w:rPr>
        <w:t xml:space="preserve">The current provisions in the Act provide for a regulation to prescribe qualifications and competencies in the practice of architecture and the assessment entities which would assess applicant architects against these qualifications and competencies. The assessment entities are also required to conduct competency assessments against continuing competency requirements. The Board has experienced difficulty in implementing this scheme and has proposed that an alternative simplified scheme be introduced which adopts procedures approved by the Architects Accreditation Council of Australia and adopted by </w:t>
      </w:r>
      <w:smartTag w:uri="urn:schemas-microsoft-com:office:smarttags" w:element="place">
        <w:smartTag w:uri="urn:schemas-microsoft-com:office:smarttags" w:element="PlaceName">
          <w:r w:rsidRPr="0015145C">
            <w:rPr>
              <w:rFonts w:ascii="Arial" w:hAnsi="Arial" w:cs="Arial"/>
              <w:sz w:val="22"/>
              <w:szCs w:val="22"/>
            </w:rPr>
            <w:t>Australian</w:t>
          </w:r>
        </w:smartTag>
        <w:r w:rsidRPr="0015145C">
          <w:rPr>
            <w:rFonts w:ascii="Arial" w:hAnsi="Arial" w:cs="Arial"/>
            <w:sz w:val="22"/>
            <w:szCs w:val="22"/>
          </w:rPr>
          <w:t xml:space="preserve"> </w:t>
        </w:r>
        <w:smartTag w:uri="urn:schemas-microsoft-com:office:smarttags" w:element="PlaceType">
          <w:r w:rsidRPr="0015145C">
            <w:rPr>
              <w:rFonts w:ascii="Arial" w:hAnsi="Arial" w:cs="Arial"/>
              <w:sz w:val="22"/>
              <w:szCs w:val="22"/>
            </w:rPr>
            <w:t>States</w:t>
          </w:r>
        </w:smartTag>
      </w:smartTag>
      <w:r w:rsidRPr="0015145C">
        <w:rPr>
          <w:rFonts w:ascii="Arial" w:hAnsi="Arial" w:cs="Arial"/>
          <w:sz w:val="22"/>
          <w:szCs w:val="22"/>
        </w:rPr>
        <w:t xml:space="preserve"> and Territories.</w:t>
      </w:r>
    </w:p>
    <w:p w:rsidR="001B4A18" w:rsidRPr="0015145C" w:rsidRDefault="001B4A18" w:rsidP="00D976F1">
      <w:pPr>
        <w:keepLines/>
        <w:numPr>
          <w:ilvl w:val="0"/>
          <w:numId w:val="18"/>
        </w:numPr>
        <w:spacing w:before="240"/>
        <w:jc w:val="both"/>
        <w:rPr>
          <w:rFonts w:ascii="Arial" w:hAnsi="Arial" w:cs="Arial"/>
          <w:sz w:val="22"/>
          <w:szCs w:val="22"/>
        </w:rPr>
      </w:pPr>
      <w:r w:rsidRPr="0015145C">
        <w:rPr>
          <w:rFonts w:ascii="Arial" w:hAnsi="Arial" w:cs="Arial"/>
          <w:sz w:val="22"/>
          <w:szCs w:val="22"/>
        </w:rPr>
        <w:t>The Board of Architects of Queensland has proposed amendments to the Act. Subsequently, the Board and the Department of Public Works have developed proposed amendments to:</w:t>
      </w:r>
    </w:p>
    <w:p w:rsidR="001B4A18" w:rsidRPr="0015145C" w:rsidRDefault="001B4A18" w:rsidP="0015145C">
      <w:pPr>
        <w:keepLines/>
        <w:numPr>
          <w:ilvl w:val="0"/>
          <w:numId w:val="13"/>
        </w:numPr>
        <w:spacing w:before="240"/>
        <w:jc w:val="both"/>
        <w:rPr>
          <w:rFonts w:ascii="Arial" w:hAnsi="Arial" w:cs="Arial"/>
          <w:sz w:val="22"/>
          <w:szCs w:val="22"/>
        </w:rPr>
      </w:pPr>
      <w:r w:rsidRPr="0015145C">
        <w:rPr>
          <w:rFonts w:ascii="Arial" w:hAnsi="Arial" w:cs="Arial"/>
          <w:sz w:val="22"/>
          <w:szCs w:val="22"/>
        </w:rPr>
        <w:t xml:space="preserve">introduce a simplified registration scheme which adopts procedures approved by the Architects Accreditation Council of Australia (AACA) and adopted by architects’ registration boards in the </w:t>
      </w:r>
      <w:smartTag w:uri="urn:schemas-microsoft-com:office:smarttags" w:element="place">
        <w:smartTag w:uri="urn:schemas-microsoft-com:office:smarttags" w:element="PlaceName">
          <w:r w:rsidRPr="0015145C">
            <w:rPr>
              <w:rFonts w:ascii="Arial" w:hAnsi="Arial" w:cs="Arial"/>
              <w:sz w:val="22"/>
              <w:szCs w:val="22"/>
            </w:rPr>
            <w:t>Australian</w:t>
          </w:r>
        </w:smartTag>
        <w:r w:rsidRPr="0015145C">
          <w:rPr>
            <w:rFonts w:ascii="Arial" w:hAnsi="Arial" w:cs="Arial"/>
            <w:sz w:val="22"/>
            <w:szCs w:val="22"/>
          </w:rPr>
          <w:t xml:space="preserve"> </w:t>
        </w:r>
        <w:smartTag w:uri="urn:schemas-microsoft-com:office:smarttags" w:element="PlaceType">
          <w:r w:rsidRPr="0015145C">
            <w:rPr>
              <w:rFonts w:ascii="Arial" w:hAnsi="Arial" w:cs="Arial"/>
              <w:sz w:val="22"/>
              <w:szCs w:val="22"/>
            </w:rPr>
            <w:t>States</w:t>
          </w:r>
        </w:smartTag>
      </w:smartTag>
      <w:r w:rsidRPr="0015145C">
        <w:rPr>
          <w:rFonts w:ascii="Arial" w:hAnsi="Arial" w:cs="Arial"/>
          <w:sz w:val="22"/>
          <w:szCs w:val="22"/>
        </w:rPr>
        <w:t xml:space="preserve"> and Territories. The amendments will simplify the procedural framework for registering architects by recognising the AACA requirements for </w:t>
      </w:r>
      <w:smartTag w:uri="urn:schemas-microsoft-com:office:smarttags" w:element="State">
        <w:smartTag w:uri="urn:schemas-microsoft-com:office:smarttags" w:element="place">
          <w:r w:rsidRPr="0015145C">
            <w:rPr>
              <w:rFonts w:ascii="Arial" w:hAnsi="Arial" w:cs="Arial"/>
              <w:sz w:val="22"/>
              <w:szCs w:val="22"/>
            </w:rPr>
            <w:t>Queensland</w:t>
          </w:r>
        </w:smartTag>
      </w:smartTag>
      <w:r w:rsidRPr="0015145C">
        <w:rPr>
          <w:rFonts w:ascii="Arial" w:hAnsi="Arial" w:cs="Arial"/>
          <w:sz w:val="22"/>
          <w:szCs w:val="22"/>
        </w:rPr>
        <w:t xml:space="preserve"> registration. This will not change the qualifications and experience required to be registered as an architect</w:t>
      </w:r>
    </w:p>
    <w:p w:rsidR="001B4A18" w:rsidRPr="0015145C" w:rsidRDefault="001B4A18" w:rsidP="0015145C">
      <w:pPr>
        <w:keepLines/>
        <w:numPr>
          <w:ilvl w:val="0"/>
          <w:numId w:val="13"/>
        </w:numPr>
        <w:spacing w:before="240"/>
        <w:jc w:val="both"/>
        <w:rPr>
          <w:rFonts w:ascii="Arial" w:hAnsi="Arial" w:cs="Arial"/>
          <w:sz w:val="22"/>
          <w:szCs w:val="22"/>
        </w:rPr>
      </w:pPr>
      <w:r w:rsidRPr="0015145C">
        <w:rPr>
          <w:rFonts w:ascii="Arial" w:hAnsi="Arial" w:cs="Arial"/>
          <w:sz w:val="22"/>
          <w:szCs w:val="22"/>
        </w:rPr>
        <w:t>broaden the fitness to practi</w:t>
      </w:r>
      <w:r w:rsidR="007C50BA">
        <w:rPr>
          <w:rFonts w:ascii="Arial" w:hAnsi="Arial" w:cs="Arial"/>
          <w:sz w:val="22"/>
          <w:szCs w:val="22"/>
        </w:rPr>
        <w:t>s</w:t>
      </w:r>
      <w:r w:rsidRPr="0015145C">
        <w:rPr>
          <w:rFonts w:ascii="Arial" w:hAnsi="Arial" w:cs="Arial"/>
          <w:sz w:val="22"/>
          <w:szCs w:val="22"/>
        </w:rPr>
        <w:t>e provisions to enable the Board to request that a registered architect undergo a health assessment if the Board reasonably believes that the registered architect may be physically or mentally impaired and to ask the Commissioner of Police for a criminal history report providing details of convictions for offences in Queensland or elsewhere in Australia relating to an applicant architect</w:t>
      </w:r>
    </w:p>
    <w:p w:rsidR="001B4A18" w:rsidRPr="0015145C" w:rsidRDefault="001B4A18" w:rsidP="0015145C">
      <w:pPr>
        <w:keepLines/>
        <w:numPr>
          <w:ilvl w:val="0"/>
          <w:numId w:val="13"/>
        </w:numPr>
        <w:spacing w:before="240"/>
        <w:jc w:val="both"/>
        <w:rPr>
          <w:rFonts w:ascii="Arial" w:hAnsi="Arial" w:cs="Arial"/>
          <w:sz w:val="22"/>
          <w:szCs w:val="22"/>
        </w:rPr>
      </w:pPr>
      <w:r w:rsidRPr="0015145C">
        <w:rPr>
          <w:rFonts w:ascii="Arial" w:hAnsi="Arial" w:cs="Arial"/>
          <w:sz w:val="22"/>
          <w:szCs w:val="22"/>
        </w:rPr>
        <w:t>permit a registered architect to register as a non-practising architect in circumstances where they do not intend to practise</w:t>
      </w:r>
    </w:p>
    <w:p w:rsidR="001B4A18" w:rsidRPr="0015145C" w:rsidRDefault="001B4A18" w:rsidP="0015145C">
      <w:pPr>
        <w:keepLines/>
        <w:numPr>
          <w:ilvl w:val="0"/>
          <w:numId w:val="13"/>
        </w:numPr>
        <w:spacing w:before="240"/>
        <w:jc w:val="both"/>
        <w:rPr>
          <w:rFonts w:ascii="Arial" w:hAnsi="Arial" w:cs="Arial"/>
          <w:sz w:val="22"/>
          <w:szCs w:val="22"/>
        </w:rPr>
      </w:pPr>
      <w:r w:rsidRPr="0015145C">
        <w:rPr>
          <w:rFonts w:ascii="Arial" w:hAnsi="Arial" w:cs="Arial"/>
          <w:sz w:val="22"/>
          <w:szCs w:val="22"/>
        </w:rPr>
        <w:t>introduce a range of miscellaneous amendments in relation to matters such as restoration of registration, staffing of the Board, disciplinary and penalty provisions, disciplinary provisions relating to formerly registered architects and powers of the Board in the registration process.</w:t>
      </w:r>
    </w:p>
    <w:p w:rsidR="006B4B37" w:rsidRPr="00D976F1" w:rsidRDefault="006B4B37" w:rsidP="00D976F1">
      <w:pPr>
        <w:numPr>
          <w:ilvl w:val="0"/>
          <w:numId w:val="18"/>
        </w:numPr>
        <w:tabs>
          <w:tab w:val="left" w:pos="1"/>
          <w:tab w:val="left" w:pos="390"/>
          <w:tab w:val="left" w:pos="1440"/>
          <w:tab w:val="left" w:pos="2160"/>
        </w:tabs>
        <w:spacing w:before="240"/>
        <w:jc w:val="both"/>
        <w:rPr>
          <w:rFonts w:ascii="Arial" w:hAnsi="Arial" w:cs="Arial"/>
          <w:sz w:val="22"/>
          <w:szCs w:val="22"/>
          <w:u w:val="single"/>
        </w:rPr>
      </w:pPr>
      <w:r w:rsidRPr="00D976F1">
        <w:rPr>
          <w:rFonts w:ascii="Arial" w:hAnsi="Arial" w:cs="Arial"/>
          <w:sz w:val="22"/>
          <w:szCs w:val="22"/>
          <w:u w:val="single"/>
        </w:rPr>
        <w:t xml:space="preserve">Cabinet </w:t>
      </w:r>
      <w:r w:rsidR="00D976F1">
        <w:rPr>
          <w:rFonts w:ascii="Arial" w:hAnsi="Arial" w:cs="Arial"/>
          <w:sz w:val="22"/>
          <w:szCs w:val="22"/>
          <w:u w:val="single"/>
        </w:rPr>
        <w:t>a</w:t>
      </w:r>
      <w:r w:rsidRPr="00D976F1">
        <w:rPr>
          <w:rFonts w:ascii="Arial" w:hAnsi="Arial" w:cs="Arial"/>
          <w:sz w:val="22"/>
          <w:szCs w:val="22"/>
          <w:u w:val="single"/>
        </w:rPr>
        <w:t>pproved</w:t>
      </w:r>
      <w:r w:rsidR="00D976F1">
        <w:rPr>
          <w:rFonts w:ascii="Arial" w:hAnsi="Arial" w:cs="Arial"/>
          <w:sz w:val="22"/>
          <w:szCs w:val="22"/>
          <w:u w:val="single"/>
        </w:rPr>
        <w:t xml:space="preserve"> </w:t>
      </w:r>
      <w:r w:rsidR="00D976F1" w:rsidRPr="00380508">
        <w:rPr>
          <w:rFonts w:ascii="Arial" w:hAnsi="Arial" w:cs="Arial"/>
          <w:sz w:val="22"/>
          <w:szCs w:val="22"/>
        </w:rPr>
        <w:t>that the Architects Amendment Bill 2009</w:t>
      </w:r>
      <w:r w:rsidR="00D976F1">
        <w:rPr>
          <w:rFonts w:ascii="Arial" w:hAnsi="Arial" w:cs="Arial"/>
          <w:sz w:val="22"/>
          <w:szCs w:val="22"/>
        </w:rPr>
        <w:t xml:space="preserve"> </w:t>
      </w:r>
      <w:r w:rsidR="00D976F1" w:rsidRPr="00380508">
        <w:rPr>
          <w:rFonts w:ascii="Arial" w:hAnsi="Arial" w:cs="Arial"/>
          <w:sz w:val="22"/>
          <w:szCs w:val="22"/>
        </w:rPr>
        <w:t>be introduced into the Legislative Assembly</w:t>
      </w:r>
      <w:r w:rsidR="002343FA">
        <w:rPr>
          <w:rFonts w:ascii="Arial" w:hAnsi="Arial" w:cs="Arial"/>
          <w:sz w:val="22"/>
          <w:szCs w:val="22"/>
        </w:rPr>
        <w:t>.</w:t>
      </w:r>
    </w:p>
    <w:p w:rsidR="00EA00BF" w:rsidRPr="00C07656" w:rsidRDefault="00EA00BF" w:rsidP="00EA00BF">
      <w:pPr>
        <w:jc w:val="both"/>
        <w:rPr>
          <w:rFonts w:ascii="Arial" w:hAnsi="Arial" w:cs="Arial"/>
          <w:sz w:val="22"/>
          <w:szCs w:val="22"/>
        </w:rPr>
      </w:pPr>
    </w:p>
    <w:p w:rsidR="00EA00BF" w:rsidRPr="00C07656" w:rsidRDefault="00EA00BF" w:rsidP="00D976F1">
      <w:pPr>
        <w:keepNext/>
        <w:numPr>
          <w:ilvl w:val="0"/>
          <w:numId w:val="18"/>
        </w:numPr>
        <w:jc w:val="both"/>
        <w:rPr>
          <w:rFonts w:ascii="Arial" w:hAnsi="Arial" w:cs="Arial"/>
          <w:sz w:val="22"/>
          <w:szCs w:val="22"/>
        </w:rPr>
      </w:pPr>
      <w:r w:rsidRPr="00C07656">
        <w:rPr>
          <w:rFonts w:ascii="Arial" w:hAnsi="Arial" w:cs="Arial"/>
          <w:i/>
          <w:sz w:val="22"/>
          <w:szCs w:val="22"/>
          <w:u w:val="single"/>
        </w:rPr>
        <w:t xml:space="preserve">Attachments </w:t>
      </w:r>
    </w:p>
    <w:p w:rsidR="00A712CE" w:rsidRPr="00A712CE" w:rsidRDefault="00A535A6" w:rsidP="00D976F1">
      <w:pPr>
        <w:numPr>
          <w:ilvl w:val="0"/>
          <w:numId w:val="17"/>
        </w:numPr>
        <w:tabs>
          <w:tab w:val="left" w:pos="1"/>
          <w:tab w:val="left" w:pos="720"/>
          <w:tab w:val="left" w:pos="1440"/>
          <w:tab w:val="left" w:pos="2160"/>
        </w:tabs>
        <w:spacing w:after="120"/>
        <w:ind w:left="714" w:hanging="357"/>
        <w:jc w:val="both"/>
        <w:rPr>
          <w:rFonts w:ascii="Arial" w:hAnsi="Arial" w:cs="Arial"/>
          <w:sz w:val="22"/>
          <w:szCs w:val="22"/>
        </w:rPr>
      </w:pPr>
      <w:hyperlink r:id="rId7" w:history="1">
        <w:r w:rsidR="00A712CE" w:rsidRPr="002343FA">
          <w:rPr>
            <w:rStyle w:val="Hyperlink"/>
            <w:rFonts w:ascii="Arial" w:hAnsi="Arial" w:cs="Arial"/>
            <w:sz w:val="22"/>
            <w:szCs w:val="22"/>
          </w:rPr>
          <w:t>Architects Amendment Bill 2009</w:t>
        </w:r>
      </w:hyperlink>
    </w:p>
    <w:p w:rsidR="00A712CE" w:rsidRPr="00A712CE" w:rsidRDefault="00A535A6" w:rsidP="00D976F1">
      <w:pPr>
        <w:numPr>
          <w:ilvl w:val="0"/>
          <w:numId w:val="17"/>
        </w:numPr>
        <w:tabs>
          <w:tab w:val="left" w:pos="1"/>
          <w:tab w:val="left" w:pos="720"/>
          <w:tab w:val="left" w:pos="1440"/>
          <w:tab w:val="left" w:pos="2160"/>
        </w:tabs>
        <w:spacing w:after="120"/>
        <w:ind w:left="714" w:hanging="357"/>
        <w:jc w:val="both"/>
        <w:rPr>
          <w:rFonts w:ascii="Arial" w:hAnsi="Arial" w:cs="Arial"/>
          <w:sz w:val="22"/>
          <w:szCs w:val="22"/>
        </w:rPr>
      </w:pPr>
      <w:hyperlink r:id="rId8" w:history="1">
        <w:r w:rsidR="00A712CE" w:rsidRPr="002343FA">
          <w:rPr>
            <w:rStyle w:val="Hyperlink"/>
            <w:rFonts w:ascii="Arial" w:hAnsi="Arial" w:cs="Arial"/>
            <w:sz w:val="22"/>
            <w:szCs w:val="22"/>
          </w:rPr>
          <w:t>Explanatory Notes</w:t>
        </w:r>
      </w:hyperlink>
    </w:p>
    <w:p w:rsidR="000B545C" w:rsidRPr="00C07656" w:rsidRDefault="000B545C" w:rsidP="00A712CE">
      <w:pPr>
        <w:rPr>
          <w:rFonts w:ascii="Arial" w:hAnsi="Arial" w:cs="Arial"/>
          <w:sz w:val="22"/>
          <w:szCs w:val="22"/>
        </w:rPr>
      </w:pPr>
    </w:p>
    <w:p w:rsidR="000B545C" w:rsidRPr="00C07656" w:rsidRDefault="000B545C">
      <w:pPr>
        <w:rPr>
          <w:rFonts w:ascii="Arial" w:hAnsi="Arial" w:cs="Arial"/>
          <w:sz w:val="22"/>
          <w:szCs w:val="22"/>
        </w:rPr>
      </w:pPr>
    </w:p>
    <w:sectPr w:rsidR="000B545C" w:rsidRPr="00C07656" w:rsidSect="007D3B9D">
      <w:headerReference w:type="default" r:id="rId9"/>
      <w:footerReference w:type="default" r:id="rId10"/>
      <w:pgSz w:w="11907" w:h="16840" w:code="9"/>
      <w:pgMar w:top="1985" w:right="1418" w:bottom="907" w:left="1418" w:header="89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A00" w:rsidRDefault="00910A00">
      <w:r>
        <w:separator/>
      </w:r>
    </w:p>
  </w:endnote>
  <w:endnote w:type="continuationSeparator" w:id="0">
    <w:p w:rsidR="00910A00" w:rsidRDefault="0091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F92" w:rsidRPr="001141E1" w:rsidRDefault="00FB7F92"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A00" w:rsidRDefault="00910A00">
      <w:r>
        <w:separator/>
      </w:r>
    </w:p>
  </w:footnote>
  <w:footnote w:type="continuationSeparator" w:id="0">
    <w:p w:rsidR="00910A00" w:rsidRDefault="00910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F92" w:rsidRPr="00F75C06" w:rsidRDefault="00975DCA" w:rsidP="007D3B9D">
    <w:pPr>
      <w:pStyle w:val="Header"/>
      <w:ind w:firstLine="2880"/>
      <w:rPr>
        <w:rFonts w:ascii="Arial" w:hAnsi="Arial" w:cs="Arial"/>
        <w:b/>
        <w:sz w:val="22"/>
        <w:szCs w:val="22"/>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FB7F92" w:rsidRPr="000400F9">
      <w:rPr>
        <w:rFonts w:ascii="Arial" w:hAnsi="Arial" w:cs="Arial"/>
        <w:b/>
        <w:sz w:val="22"/>
        <w:szCs w:val="22"/>
        <w:u w:val="single"/>
      </w:rPr>
      <w:t xml:space="preserve">Cabinet – </w:t>
    </w:r>
    <w:r w:rsidR="00D976F1">
      <w:rPr>
        <w:rFonts w:ascii="Arial" w:hAnsi="Arial" w:cs="Arial"/>
        <w:b/>
        <w:sz w:val="22"/>
        <w:szCs w:val="22"/>
        <w:u w:val="single"/>
      </w:rPr>
      <w:t xml:space="preserve">February </w:t>
    </w:r>
    <w:r w:rsidR="00FB7F92">
      <w:rPr>
        <w:rFonts w:ascii="Arial" w:hAnsi="Arial" w:cs="Arial"/>
        <w:b/>
        <w:sz w:val="22"/>
        <w:szCs w:val="22"/>
        <w:u w:val="single"/>
      </w:rPr>
      <w:t>20</w:t>
    </w:r>
    <w:r w:rsidR="00D976F1">
      <w:rPr>
        <w:rFonts w:ascii="Arial" w:hAnsi="Arial" w:cs="Arial"/>
        <w:b/>
        <w:sz w:val="22"/>
        <w:szCs w:val="22"/>
        <w:u w:val="single"/>
      </w:rPr>
      <w:t>1</w:t>
    </w:r>
    <w:r w:rsidR="00FB7F92">
      <w:rPr>
        <w:rFonts w:ascii="Arial" w:hAnsi="Arial" w:cs="Arial"/>
        <w:b/>
        <w:sz w:val="22"/>
        <w:szCs w:val="22"/>
        <w:u w:val="single"/>
      </w:rPr>
      <w:t>0</w:t>
    </w:r>
    <w:r w:rsidR="00FB7F92">
      <w:rPr>
        <w:rFonts w:ascii="Arial" w:hAnsi="Arial" w:cs="Arial"/>
        <w:b/>
        <w:sz w:val="22"/>
        <w:szCs w:val="22"/>
      </w:rPr>
      <w:tab/>
    </w:r>
  </w:p>
  <w:p w:rsidR="00FB7F92" w:rsidRDefault="00FB7F92" w:rsidP="000400F9">
    <w:pPr>
      <w:pStyle w:val="Header"/>
      <w:spacing w:before="120"/>
      <w:rPr>
        <w:rFonts w:ascii="Arial" w:hAnsi="Arial" w:cs="Arial"/>
        <w:b/>
        <w:sz w:val="22"/>
        <w:szCs w:val="22"/>
        <w:u w:val="single"/>
      </w:rPr>
    </w:pPr>
    <w:r>
      <w:rPr>
        <w:rFonts w:ascii="Arial" w:hAnsi="Arial" w:cs="Arial"/>
        <w:b/>
        <w:sz w:val="22"/>
        <w:szCs w:val="22"/>
        <w:u w:val="single"/>
      </w:rPr>
      <w:t>Architects Amendment Bill 2009</w:t>
    </w:r>
  </w:p>
  <w:p w:rsidR="00FB7F92" w:rsidRDefault="00FB7F92" w:rsidP="000400F9">
    <w:pPr>
      <w:pStyle w:val="Header"/>
      <w:spacing w:before="120"/>
      <w:rPr>
        <w:rFonts w:ascii="Arial" w:hAnsi="Arial" w:cs="Arial"/>
        <w:b/>
        <w:sz w:val="22"/>
        <w:szCs w:val="22"/>
        <w:u w:val="single"/>
      </w:rPr>
    </w:pPr>
    <w:r>
      <w:rPr>
        <w:rFonts w:ascii="Arial" w:hAnsi="Arial" w:cs="Arial"/>
        <w:b/>
        <w:sz w:val="22"/>
        <w:szCs w:val="22"/>
        <w:u w:val="single"/>
      </w:rPr>
      <w:t>Minister for Public Works and Information and Communication Technology</w:t>
    </w:r>
  </w:p>
  <w:p w:rsidR="00FB7F92" w:rsidRPr="000400F9" w:rsidRDefault="00FB7F92" w:rsidP="007D3B9D">
    <w:pPr>
      <w:pStyle w:val="Header"/>
      <w:pBdr>
        <w:bottom w:val="single" w:sz="8" w:space="1" w:color="auto"/>
      </w:pBdr>
      <w:spacing w:line="60" w:lineRule="exact"/>
      <w:rPr>
        <w:rFonts w:ascii="Arial" w:hAnsi="Arial" w:cs="Arial"/>
        <w:b/>
        <w:sz w:val="22"/>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0CC3A12"/>
    <w:multiLevelType w:val="hybridMultilevel"/>
    <w:tmpl w:val="71CAD2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4C811D7"/>
    <w:multiLevelType w:val="hybridMultilevel"/>
    <w:tmpl w:val="CE60C556"/>
    <w:lvl w:ilvl="0" w:tplc="426A59C2">
      <w:start w:val="1"/>
      <w:numFmt w:val="lowerLetter"/>
      <w:lvlText w:val="(%1)"/>
      <w:lvlJc w:val="left"/>
      <w:pPr>
        <w:tabs>
          <w:tab w:val="num" w:pos="720"/>
        </w:tabs>
        <w:ind w:left="720" w:hanging="7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37823C20"/>
    <w:multiLevelType w:val="hybridMultilevel"/>
    <w:tmpl w:val="C3ECA7A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DFA606B"/>
    <w:multiLevelType w:val="hybridMultilevel"/>
    <w:tmpl w:val="59626B8A"/>
    <w:lvl w:ilvl="0" w:tplc="0C090001">
      <w:start w:val="1"/>
      <w:numFmt w:val="bullet"/>
      <w:lvlText w:val=""/>
      <w:lvlJc w:val="left"/>
      <w:pPr>
        <w:tabs>
          <w:tab w:val="num" w:pos="2503"/>
        </w:tabs>
        <w:ind w:left="2503" w:hanging="360"/>
      </w:pPr>
      <w:rPr>
        <w:rFonts w:ascii="Symbol" w:hAnsi="Symbol" w:hint="default"/>
      </w:rPr>
    </w:lvl>
    <w:lvl w:ilvl="1" w:tplc="0C090003" w:tentative="1">
      <w:start w:val="1"/>
      <w:numFmt w:val="bullet"/>
      <w:lvlText w:val="o"/>
      <w:lvlJc w:val="left"/>
      <w:pPr>
        <w:tabs>
          <w:tab w:val="num" w:pos="3223"/>
        </w:tabs>
        <w:ind w:left="3223" w:hanging="360"/>
      </w:pPr>
      <w:rPr>
        <w:rFonts w:ascii="Courier New" w:hAnsi="Courier New" w:cs="Courier New" w:hint="default"/>
      </w:rPr>
    </w:lvl>
    <w:lvl w:ilvl="2" w:tplc="0C090005" w:tentative="1">
      <w:start w:val="1"/>
      <w:numFmt w:val="bullet"/>
      <w:lvlText w:val=""/>
      <w:lvlJc w:val="left"/>
      <w:pPr>
        <w:tabs>
          <w:tab w:val="num" w:pos="3943"/>
        </w:tabs>
        <w:ind w:left="3943" w:hanging="360"/>
      </w:pPr>
      <w:rPr>
        <w:rFonts w:ascii="Wingdings" w:hAnsi="Wingdings" w:hint="default"/>
      </w:rPr>
    </w:lvl>
    <w:lvl w:ilvl="3" w:tplc="0C090001" w:tentative="1">
      <w:start w:val="1"/>
      <w:numFmt w:val="bullet"/>
      <w:lvlText w:val=""/>
      <w:lvlJc w:val="left"/>
      <w:pPr>
        <w:tabs>
          <w:tab w:val="num" w:pos="4663"/>
        </w:tabs>
        <w:ind w:left="4663" w:hanging="360"/>
      </w:pPr>
      <w:rPr>
        <w:rFonts w:ascii="Symbol" w:hAnsi="Symbol" w:hint="default"/>
      </w:rPr>
    </w:lvl>
    <w:lvl w:ilvl="4" w:tplc="0C090003" w:tentative="1">
      <w:start w:val="1"/>
      <w:numFmt w:val="bullet"/>
      <w:lvlText w:val="o"/>
      <w:lvlJc w:val="left"/>
      <w:pPr>
        <w:tabs>
          <w:tab w:val="num" w:pos="5383"/>
        </w:tabs>
        <w:ind w:left="5383" w:hanging="360"/>
      </w:pPr>
      <w:rPr>
        <w:rFonts w:ascii="Courier New" w:hAnsi="Courier New" w:cs="Courier New" w:hint="default"/>
      </w:rPr>
    </w:lvl>
    <w:lvl w:ilvl="5" w:tplc="0C090005" w:tentative="1">
      <w:start w:val="1"/>
      <w:numFmt w:val="bullet"/>
      <w:lvlText w:val=""/>
      <w:lvlJc w:val="left"/>
      <w:pPr>
        <w:tabs>
          <w:tab w:val="num" w:pos="6103"/>
        </w:tabs>
        <w:ind w:left="6103" w:hanging="360"/>
      </w:pPr>
      <w:rPr>
        <w:rFonts w:ascii="Wingdings" w:hAnsi="Wingdings" w:hint="default"/>
      </w:rPr>
    </w:lvl>
    <w:lvl w:ilvl="6" w:tplc="0C090001" w:tentative="1">
      <w:start w:val="1"/>
      <w:numFmt w:val="bullet"/>
      <w:lvlText w:val=""/>
      <w:lvlJc w:val="left"/>
      <w:pPr>
        <w:tabs>
          <w:tab w:val="num" w:pos="6823"/>
        </w:tabs>
        <w:ind w:left="6823" w:hanging="360"/>
      </w:pPr>
      <w:rPr>
        <w:rFonts w:ascii="Symbol" w:hAnsi="Symbol" w:hint="default"/>
      </w:rPr>
    </w:lvl>
    <w:lvl w:ilvl="7" w:tplc="0C090003" w:tentative="1">
      <w:start w:val="1"/>
      <w:numFmt w:val="bullet"/>
      <w:lvlText w:val="o"/>
      <w:lvlJc w:val="left"/>
      <w:pPr>
        <w:tabs>
          <w:tab w:val="num" w:pos="7543"/>
        </w:tabs>
        <w:ind w:left="7543" w:hanging="360"/>
      </w:pPr>
      <w:rPr>
        <w:rFonts w:ascii="Courier New" w:hAnsi="Courier New" w:cs="Courier New" w:hint="default"/>
      </w:rPr>
    </w:lvl>
    <w:lvl w:ilvl="8" w:tplc="0C090005" w:tentative="1">
      <w:start w:val="1"/>
      <w:numFmt w:val="bullet"/>
      <w:lvlText w:val=""/>
      <w:lvlJc w:val="left"/>
      <w:pPr>
        <w:tabs>
          <w:tab w:val="num" w:pos="8263"/>
        </w:tabs>
        <w:ind w:left="8263" w:hanging="360"/>
      </w:pPr>
      <w:rPr>
        <w:rFonts w:ascii="Wingdings" w:hAnsi="Wingdings" w:hint="default"/>
      </w:rPr>
    </w:lvl>
  </w:abstractNum>
  <w:abstractNum w:abstractNumId="6"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4468028E"/>
    <w:multiLevelType w:val="hybridMultilevel"/>
    <w:tmpl w:val="53544E02"/>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E613CC"/>
    <w:multiLevelType w:val="hybridMultilevel"/>
    <w:tmpl w:val="457E751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5EB21E6B"/>
    <w:multiLevelType w:val="hybridMultilevel"/>
    <w:tmpl w:val="8ED637A6"/>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61497150"/>
    <w:multiLevelType w:val="hybridMultilevel"/>
    <w:tmpl w:val="071AAF7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1"/>
  </w:num>
  <w:num w:numId="2">
    <w:abstractNumId w:val="0"/>
  </w:num>
  <w:num w:numId="3">
    <w:abstractNumId w:val="16"/>
  </w:num>
  <w:num w:numId="4">
    <w:abstractNumId w:val="6"/>
  </w:num>
  <w:num w:numId="5">
    <w:abstractNumId w:val="1"/>
  </w:num>
  <w:num w:numId="6">
    <w:abstractNumId w:val="18"/>
  </w:num>
  <w:num w:numId="7">
    <w:abstractNumId w:val="17"/>
  </w:num>
  <w:num w:numId="8">
    <w:abstractNumId w:val="15"/>
  </w:num>
  <w:num w:numId="9">
    <w:abstractNumId w:val="14"/>
  </w:num>
  <w:num w:numId="10">
    <w:abstractNumId w:val="9"/>
  </w:num>
  <w:num w:numId="11">
    <w:abstractNumId w:val="8"/>
  </w:num>
  <w:num w:numId="12">
    <w:abstractNumId w:val="3"/>
  </w:num>
  <w:num w:numId="13">
    <w:abstractNumId w:val="7"/>
  </w:num>
  <w:num w:numId="14">
    <w:abstractNumId w:val="12"/>
  </w:num>
  <w:num w:numId="15">
    <w:abstractNumId w:val="10"/>
  </w:num>
  <w:num w:numId="16">
    <w:abstractNumId w:val="2"/>
  </w:num>
  <w:num w:numId="17">
    <w:abstractNumId w:val="5"/>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B8A"/>
    <w:rsid w:val="00021B34"/>
    <w:rsid w:val="000400F9"/>
    <w:rsid w:val="000B545C"/>
    <w:rsid w:val="001141E1"/>
    <w:rsid w:val="00133013"/>
    <w:rsid w:val="00133A34"/>
    <w:rsid w:val="00133B78"/>
    <w:rsid w:val="0015145C"/>
    <w:rsid w:val="00160524"/>
    <w:rsid w:val="001B4A18"/>
    <w:rsid w:val="00216BFD"/>
    <w:rsid w:val="002343FA"/>
    <w:rsid w:val="00254E35"/>
    <w:rsid w:val="0028053C"/>
    <w:rsid w:val="002D04CF"/>
    <w:rsid w:val="002F57E4"/>
    <w:rsid w:val="00314FEB"/>
    <w:rsid w:val="0032048B"/>
    <w:rsid w:val="00346156"/>
    <w:rsid w:val="00380508"/>
    <w:rsid w:val="00382380"/>
    <w:rsid w:val="003A269C"/>
    <w:rsid w:val="003A2E0F"/>
    <w:rsid w:val="003C3732"/>
    <w:rsid w:val="00435BE5"/>
    <w:rsid w:val="00437D6B"/>
    <w:rsid w:val="0048019C"/>
    <w:rsid w:val="00486A99"/>
    <w:rsid w:val="004A0D94"/>
    <w:rsid w:val="004E6C38"/>
    <w:rsid w:val="004F7B8A"/>
    <w:rsid w:val="0050285D"/>
    <w:rsid w:val="0056401D"/>
    <w:rsid w:val="00572D13"/>
    <w:rsid w:val="005B1D9B"/>
    <w:rsid w:val="006100CC"/>
    <w:rsid w:val="00644076"/>
    <w:rsid w:val="006631CF"/>
    <w:rsid w:val="00682036"/>
    <w:rsid w:val="006B3B54"/>
    <w:rsid w:val="006B4B37"/>
    <w:rsid w:val="006D0869"/>
    <w:rsid w:val="006E6713"/>
    <w:rsid w:val="007060D7"/>
    <w:rsid w:val="00726F36"/>
    <w:rsid w:val="0075256D"/>
    <w:rsid w:val="007A25F4"/>
    <w:rsid w:val="007A6599"/>
    <w:rsid w:val="007C50BA"/>
    <w:rsid w:val="007D3B9D"/>
    <w:rsid w:val="007F52D6"/>
    <w:rsid w:val="007F5BD1"/>
    <w:rsid w:val="008038D9"/>
    <w:rsid w:val="0082040E"/>
    <w:rsid w:val="00843549"/>
    <w:rsid w:val="00845D3E"/>
    <w:rsid w:val="008A5F1B"/>
    <w:rsid w:val="008B7E17"/>
    <w:rsid w:val="008F44CD"/>
    <w:rsid w:val="00910A00"/>
    <w:rsid w:val="00922A5B"/>
    <w:rsid w:val="00975DCA"/>
    <w:rsid w:val="009D0C12"/>
    <w:rsid w:val="009F5476"/>
    <w:rsid w:val="009F7CA0"/>
    <w:rsid w:val="00A20C0E"/>
    <w:rsid w:val="00A30F55"/>
    <w:rsid w:val="00A32C2D"/>
    <w:rsid w:val="00A535A6"/>
    <w:rsid w:val="00A712CE"/>
    <w:rsid w:val="00AA128C"/>
    <w:rsid w:val="00AB6637"/>
    <w:rsid w:val="00AC30AA"/>
    <w:rsid w:val="00AE1995"/>
    <w:rsid w:val="00B11623"/>
    <w:rsid w:val="00B40BDF"/>
    <w:rsid w:val="00BB2C74"/>
    <w:rsid w:val="00BC43F1"/>
    <w:rsid w:val="00C07656"/>
    <w:rsid w:val="00C4380F"/>
    <w:rsid w:val="00C805EC"/>
    <w:rsid w:val="00C85B71"/>
    <w:rsid w:val="00CE6FBA"/>
    <w:rsid w:val="00D51567"/>
    <w:rsid w:val="00D54601"/>
    <w:rsid w:val="00D976F1"/>
    <w:rsid w:val="00DD3CD5"/>
    <w:rsid w:val="00DD497C"/>
    <w:rsid w:val="00DF4650"/>
    <w:rsid w:val="00E162F5"/>
    <w:rsid w:val="00E463C2"/>
    <w:rsid w:val="00E60265"/>
    <w:rsid w:val="00EA00BF"/>
    <w:rsid w:val="00EC7702"/>
    <w:rsid w:val="00F756F8"/>
    <w:rsid w:val="00F75C06"/>
    <w:rsid w:val="00FB54A6"/>
    <w:rsid w:val="00FB7F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paragraph" w:customStyle="1" w:styleId="CharCharChar">
    <w:name w:val="Char Char Char"/>
    <w:basedOn w:val="Normal"/>
    <w:rsid w:val="001B4A18"/>
    <w:pPr>
      <w:keepNext/>
      <w:numPr>
        <w:ilvl w:val="12"/>
      </w:numPr>
      <w:spacing w:after="160" w:line="240" w:lineRule="exact"/>
      <w:ind w:left="540" w:firstLine="6"/>
    </w:pPr>
    <w:rPr>
      <w:rFonts w:ascii="Verdana" w:hAnsi="Verdana" w:cs="Arial"/>
      <w:bCs/>
      <w:sz w:val="20"/>
      <w:szCs w:val="22"/>
      <w:lang w:val="en-US" w:eastAsia="en-US"/>
    </w:rPr>
  </w:style>
  <w:style w:type="character" w:styleId="CommentReference">
    <w:name w:val="annotation reference"/>
    <w:basedOn w:val="DefaultParagraphFont"/>
    <w:semiHidden/>
    <w:rsid w:val="00A712CE"/>
    <w:rPr>
      <w:sz w:val="16"/>
      <w:szCs w:val="16"/>
    </w:rPr>
  </w:style>
  <w:style w:type="paragraph" w:styleId="CommentText">
    <w:name w:val="annotation text"/>
    <w:basedOn w:val="Normal"/>
    <w:semiHidden/>
    <w:rsid w:val="00A712CE"/>
    <w:rPr>
      <w:sz w:val="20"/>
      <w:szCs w:val="20"/>
    </w:rPr>
  </w:style>
  <w:style w:type="paragraph" w:styleId="CommentSubject">
    <w:name w:val="annotation subject"/>
    <w:basedOn w:val="CommentText"/>
    <w:next w:val="CommentText"/>
    <w:semiHidden/>
    <w:rsid w:val="00A712CE"/>
    <w:rPr>
      <w:b/>
      <w:bCs/>
    </w:rPr>
  </w:style>
  <w:style w:type="character" w:styleId="Hyperlink">
    <w:name w:val="Hyperlink"/>
    <w:basedOn w:val="DefaultParagraphFont"/>
    <w:rsid w:val="002343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ArchitectsAB10Exp.pdf" TargetMode="External"/><Relationship Id="rId3" Type="http://schemas.openxmlformats.org/officeDocument/2006/relationships/settings" Target="settings.xml"/><Relationship Id="rId7" Type="http://schemas.openxmlformats.org/officeDocument/2006/relationships/hyperlink" Target="Attachments/ArchitectsAB10.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eena.mcconville\Local%20Settings\Temporary%20Internet%20Files\OLKAC\Decision%20Summary%20Template%20v0%204%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Decision Summary Template v0 4 (2).dot</Template>
  <TotalTime>0</TotalTime>
  <Pages>1</Pages>
  <Words>371</Words>
  <Characters>2248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2615</CharactersWithSpaces>
  <SharedDoc>false</SharedDoc>
  <HyperlinkBase>https://www.cabinet.qld.gov.au/documents/2010/Feb/Architects Amendment Bill 2009/</HyperlinkBase>
  <HLinks>
    <vt:vector size="12" baseType="variant">
      <vt:variant>
        <vt:i4>6094921</vt:i4>
      </vt:variant>
      <vt:variant>
        <vt:i4>3</vt:i4>
      </vt:variant>
      <vt:variant>
        <vt:i4>0</vt:i4>
      </vt:variant>
      <vt:variant>
        <vt:i4>5</vt:i4>
      </vt:variant>
      <vt:variant>
        <vt:lpwstr>Attachments/ArchitectsAB10Exp.pdf</vt:lpwstr>
      </vt:variant>
      <vt:variant>
        <vt:lpwstr/>
      </vt:variant>
      <vt:variant>
        <vt:i4>7929958</vt:i4>
      </vt:variant>
      <vt:variant>
        <vt:i4>0</vt:i4>
      </vt:variant>
      <vt:variant>
        <vt:i4>0</vt:i4>
      </vt:variant>
      <vt:variant>
        <vt:i4>5</vt:i4>
      </vt:variant>
      <vt:variant>
        <vt:lpwstr>Attachments/ArchitectsAB10.pdf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Architects</cp:keywords>
  <dc:description/>
  <cp:lastModifiedBy/>
  <cp:revision>2</cp:revision>
  <cp:lastPrinted>2010-05-24T08:05:00Z</cp:lastPrinted>
  <dcterms:created xsi:type="dcterms:W3CDTF">2017-10-24T22:18:00Z</dcterms:created>
  <dcterms:modified xsi:type="dcterms:W3CDTF">2018-03-06T01:01:00Z</dcterms:modified>
  <cp:category>Legislation</cp:category>
</cp:coreProperties>
</file>